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C7" w:rsidRPr="00814799" w:rsidRDefault="00814799" w:rsidP="00814799">
      <w:pPr>
        <w:jc w:val="center"/>
        <w:rPr>
          <w:b/>
          <w:sz w:val="32"/>
          <w:szCs w:val="32"/>
          <w:lang w:val="es-ES"/>
        </w:rPr>
      </w:pPr>
      <w:r w:rsidRPr="00814799">
        <w:rPr>
          <w:b/>
          <w:sz w:val="32"/>
          <w:szCs w:val="32"/>
          <w:lang w:val="es-ES"/>
        </w:rPr>
        <w:t>Comisión Reguladora de la Banca de China: El desarrollo de  las "finanzas verdes" de China está a la vanguardia del mundo</w:t>
      </w:r>
    </w:p>
    <w:p w:rsidR="00ED37C7" w:rsidRPr="00814799" w:rsidRDefault="00814799">
      <w:pPr>
        <w:widowControl/>
        <w:shd w:val="clear" w:color="auto" w:fill="FFFFFF"/>
        <w:spacing w:line="465" w:lineRule="atLeast"/>
        <w:jc w:val="center"/>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Por XueLiang y He Xia, Diario del Pueblo</w:t>
      </w:r>
    </w:p>
    <w:p w:rsidR="00ED37C7" w:rsidRPr="00814799" w:rsidRDefault="00814799">
      <w:pPr>
        <w:widowControl/>
        <w:shd w:val="clear" w:color="auto" w:fill="FFFFFF"/>
        <w:spacing w:line="465" w:lineRule="atLeast"/>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   </w:t>
      </w:r>
    </w:p>
    <w:p w:rsidR="00ED37C7" w:rsidRPr="002B491A" w:rsidRDefault="00814799">
      <w:pPr>
        <w:widowControl/>
        <w:shd w:val="clear" w:color="auto" w:fill="FFFFFF"/>
        <w:spacing w:line="465" w:lineRule="atLeast"/>
        <w:rPr>
          <w:rFonts w:ascii="Microsoft YaHei" w:hAnsi="Microsoft YaHei" w:cs="Microsoft YaHei" w:hint="eastAsia"/>
          <w:kern w:val="0"/>
          <w:sz w:val="24"/>
          <w:szCs w:val="24"/>
          <w:lang w:val="es-ES"/>
        </w:rPr>
      </w:pPr>
      <w:r w:rsidRPr="00814799">
        <w:rPr>
          <w:rFonts w:ascii="Microsoft YaHei" w:eastAsia="Microsoft YaHei" w:hAnsi="Microsoft YaHei" w:cs="Microsoft YaHei"/>
          <w:kern w:val="0"/>
          <w:sz w:val="24"/>
          <w:szCs w:val="24"/>
          <w:lang w:val="es-ES"/>
        </w:rPr>
        <w:t>En la Cumbre del G20 en Hangzhou de este año se discutirá por primera vez las finanzas verdes, por lo que se ha establecido especialmente un grupo de investigación de finanzas verdes, un acto que demuestra el papel piloto y promotor de China como país anfitrión del G20. En la conferencia de prensa sobre el tema especial de las finanzas verdes celebrada hoypor la Comisión Reguladora de la Banca de China, Ye Yanfei, inspector del Buró de Investigación de Políticas de dicho mecanismo, dijo que China se encuentra de entre los puestos superiores de la clasificación mundial con respecto al "crédito verde".</w:t>
      </w:r>
    </w:p>
    <w:p w:rsidR="00ED37C7" w:rsidRPr="00814799" w:rsidRDefault="00814799">
      <w:pPr>
        <w:widowControl/>
        <w:shd w:val="clear" w:color="auto" w:fill="FFFFFF"/>
        <w:spacing w:line="465" w:lineRule="atLeast"/>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 xml:space="preserve">Según los datos publicados ayer por la Comisión Reguladora de la Banca de China, hasta finales de junio de 2016, el monto total de créditos verdes proporcionado por 21 de las principales instituciones financieras en China alcanzó los 7,26 billones de yuanes, lo que representa el 9,0 % de todos los tipos de préstamos. De estos créditos verdes, 1,69 billones de yuanes fueron asignados a las industrias de protección del medio ambiente, energías renovables, vehículos de nuevas energías, y 5,57 </w:t>
      </w:r>
      <w:r w:rsidRPr="00814799">
        <w:rPr>
          <w:rFonts w:ascii="Microsoft YaHei" w:eastAsia="Microsoft YaHei" w:hAnsi="Microsoft YaHei" w:cs="Microsoft YaHei"/>
          <w:kern w:val="0"/>
          <w:sz w:val="24"/>
          <w:szCs w:val="24"/>
          <w:lang w:val="es-ES"/>
        </w:rPr>
        <w:lastRenderedPageBreak/>
        <w:t>billones de dólares a proyectos y servicios relacionados con la protección del medio ambiente.</w:t>
      </w:r>
    </w:p>
    <w:p w:rsidR="00ED37C7" w:rsidRPr="00814799" w:rsidRDefault="00814799">
      <w:pPr>
        <w:widowControl/>
        <w:shd w:val="clear" w:color="auto" w:fill="FFFFFF"/>
        <w:spacing w:line="465" w:lineRule="atLeast"/>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El uso de los mencionados créditos mejora el medio ambiente de manera notable. Según la proporción, estos préstamos se puede</w:t>
      </w:r>
      <w:r>
        <w:rPr>
          <w:rFonts w:ascii="Microsoft YaHei" w:eastAsia="Microsoft YaHei" w:hAnsi="Microsoft YaHei" w:cs="Microsoft YaHei"/>
          <w:kern w:val="0"/>
          <w:sz w:val="24"/>
          <w:szCs w:val="24"/>
          <w:lang w:val="es-ES"/>
        </w:rPr>
        <w:t>n</w:t>
      </w:r>
      <w:bookmarkStart w:id="0" w:name="_GoBack"/>
      <w:bookmarkEnd w:id="0"/>
      <w:r w:rsidRPr="00814799">
        <w:rPr>
          <w:rFonts w:ascii="Microsoft YaHei" w:eastAsia="Microsoft YaHei" w:hAnsi="Microsoft YaHei" w:cs="Microsoft YaHei"/>
          <w:kern w:val="0"/>
          <w:sz w:val="24"/>
          <w:szCs w:val="24"/>
          <w:lang w:val="es-ES"/>
        </w:rPr>
        <w:t xml:space="preserve"> utilizar para evitar la emisión de 187 toneladas de carbón y 435 millones de toneladas de CO2 al año, lo que es equivalente a aparcar 70.000 taxis en Beijing durante 298 años.</w:t>
      </w:r>
    </w:p>
    <w:p w:rsidR="00ED37C7" w:rsidRPr="00814799" w:rsidRDefault="00814799">
      <w:pPr>
        <w:widowControl/>
        <w:shd w:val="clear" w:color="auto" w:fill="FFFFFF"/>
        <w:spacing w:line="465" w:lineRule="atLeast"/>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A finales de junio, el monto total de préstamos morosos de los 21 bancos en China para proyectos y servicios relacionados con la protección del medio ambiente llegó a los 22.625 millones de dólares, representando un 0,41% de la totalidad, y un1.35 % por debajo del nivel medio en el mismo período.</w:t>
      </w:r>
    </w:p>
    <w:p w:rsidR="00ED37C7" w:rsidRPr="00814799" w:rsidRDefault="00814799">
      <w:pPr>
        <w:widowControl/>
        <w:shd w:val="clear" w:color="auto" w:fill="FFFFFF"/>
        <w:spacing w:line="465" w:lineRule="atLeast"/>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En la actualidad, China ya ha establecido un marco sistemático de créditos verdesque tiene como núcleo la "Guía de Créditos Verdes", para definir la regulación de la política, la gestión y evaluación del crédito verde prestado por los bancos, así como asegurar su dedicación a las industrias de baja emisión de carbono, reciclaje y la ecología a un nivel internacional.</w:t>
      </w:r>
    </w:p>
    <w:p w:rsidR="00ED37C7" w:rsidRPr="00814799" w:rsidRDefault="00814799">
      <w:pPr>
        <w:widowControl/>
        <w:shd w:val="clear" w:color="auto" w:fill="FFFFFF"/>
        <w:spacing w:line="465" w:lineRule="atLeast"/>
        <w:ind w:firstLine="630"/>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Al mismo tiempo, China coordina la construcción del mecanismo de cooperación internacional en materia de créditos verdes, y ha organizado un equipo transnacional entre los mercados emergentes</w:t>
      </w:r>
      <w:r w:rsidRPr="00814799">
        <w:rPr>
          <w:rFonts w:ascii="Microsoft YaHei" w:eastAsia="Microsoft YaHei" w:hAnsi="Microsoft YaHei" w:cs="Microsoft YaHei"/>
          <w:kern w:val="0"/>
          <w:sz w:val="24"/>
          <w:szCs w:val="24"/>
          <w:lang w:val="es-ES"/>
        </w:rPr>
        <w:lastRenderedPageBreak/>
        <w:t xml:space="preserve">（Sustainablebankingnetwork，SBN）, integrado por los bancos centrales de 10 países con la Comisión Reguladora de la Banca de China como presidente permanente. </w:t>
      </w:r>
    </w:p>
    <w:p w:rsidR="00ED37C7" w:rsidRPr="00814799" w:rsidRDefault="00814799">
      <w:pPr>
        <w:widowControl/>
        <w:shd w:val="clear" w:color="auto" w:fill="FFFFFF"/>
        <w:spacing w:line="465" w:lineRule="atLeast"/>
        <w:ind w:firstLineChars="200" w:firstLine="480"/>
        <w:rPr>
          <w:rFonts w:ascii="Microsoft YaHei" w:eastAsia="Microsoft YaHei" w:hAnsi="Microsoft YaHei" w:cs="Microsoft YaHei"/>
          <w:kern w:val="0"/>
          <w:sz w:val="24"/>
          <w:szCs w:val="24"/>
          <w:lang w:val="es-ES"/>
        </w:rPr>
      </w:pPr>
      <w:r w:rsidRPr="00814799">
        <w:rPr>
          <w:rFonts w:ascii="Microsoft YaHei" w:eastAsia="Microsoft YaHei" w:hAnsi="Microsoft YaHei" w:cs="Microsoft YaHei"/>
          <w:kern w:val="0"/>
          <w:sz w:val="24"/>
          <w:szCs w:val="24"/>
          <w:lang w:val="es-ES"/>
        </w:rPr>
        <w:t>Los datos del Banco Popular de China muestran que China es una de las tres economías mundiales que han establecido el sistema de índice de créditos verdes. Con el rápido desarrollo de los "bonos verdes" en China en 2016, el país asiático se ha convertido en el mercado más grande en esta área.Con la introducción de la "opinión de orientación", China se convertirá en la primera economía del mundo en establecer un sistema relativamente completo de políticas de financiación verde.</w:t>
      </w:r>
    </w:p>
    <w:p w:rsidR="00ED37C7" w:rsidRPr="00814799" w:rsidRDefault="00ED37C7">
      <w:pPr>
        <w:rPr>
          <w:rFonts w:ascii="Microsoft YaHei" w:eastAsia="Microsoft YaHei" w:hAnsi="Microsoft YaHei" w:cs="Microsoft YaHei"/>
          <w:sz w:val="24"/>
          <w:szCs w:val="24"/>
          <w:lang w:val="es-ES"/>
        </w:rPr>
      </w:pPr>
    </w:p>
    <w:sectPr w:rsidR="00ED37C7" w:rsidRPr="00814799" w:rsidSect="00454D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932" w:rsidRDefault="007F3932" w:rsidP="002B491A">
      <w:pPr>
        <w:spacing w:after="0" w:line="240" w:lineRule="auto"/>
      </w:pPr>
      <w:r>
        <w:separator/>
      </w:r>
    </w:p>
  </w:endnote>
  <w:endnote w:type="continuationSeparator" w:id="0">
    <w:p w:rsidR="007F3932" w:rsidRDefault="007F3932" w:rsidP="002B4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932" w:rsidRDefault="007F3932" w:rsidP="002B491A">
      <w:pPr>
        <w:spacing w:after="0" w:line="240" w:lineRule="auto"/>
      </w:pPr>
      <w:r>
        <w:separator/>
      </w:r>
    </w:p>
  </w:footnote>
  <w:footnote w:type="continuationSeparator" w:id="0">
    <w:p w:rsidR="007F3932" w:rsidRDefault="007F3932" w:rsidP="002B49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58D"/>
    <w:rsid w:val="002B491A"/>
    <w:rsid w:val="00454D91"/>
    <w:rsid w:val="00537690"/>
    <w:rsid w:val="0066758D"/>
    <w:rsid w:val="007F3932"/>
    <w:rsid w:val="00814799"/>
    <w:rsid w:val="008475C0"/>
    <w:rsid w:val="00BC4C25"/>
    <w:rsid w:val="00C52FC3"/>
    <w:rsid w:val="00ED37C7"/>
    <w:rsid w:val="00FA47C2"/>
    <w:rsid w:val="0E7F2EC5"/>
    <w:rsid w:val="11533ABB"/>
    <w:rsid w:val="13AC1406"/>
    <w:rsid w:val="1B6313E5"/>
    <w:rsid w:val="1CBD2B99"/>
    <w:rsid w:val="1E830F0B"/>
    <w:rsid w:val="1F1C6EA3"/>
    <w:rsid w:val="23822995"/>
    <w:rsid w:val="27353EF9"/>
    <w:rsid w:val="275843D4"/>
    <w:rsid w:val="288769A7"/>
    <w:rsid w:val="297C4C42"/>
    <w:rsid w:val="2A692365"/>
    <w:rsid w:val="2EA2675B"/>
    <w:rsid w:val="3FA226C0"/>
    <w:rsid w:val="491143AD"/>
    <w:rsid w:val="563460F8"/>
    <w:rsid w:val="65FA55B0"/>
    <w:rsid w:val="69E3532B"/>
    <w:rsid w:val="71EA4C0A"/>
    <w:rsid w:val="778525C7"/>
    <w:rsid w:val="792B6FC1"/>
    <w:rsid w:val="7EB34805"/>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91"/>
    <w:pPr>
      <w:widowControl w:val="0"/>
      <w:jc w:val="both"/>
    </w:pPr>
    <w:rPr>
      <w:kern w:val="2"/>
      <w:sz w:val="21"/>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491A"/>
    <w:pPr>
      <w:pBdr>
        <w:bottom w:val="single" w:sz="6" w:space="1" w:color="auto"/>
      </w:pBdr>
      <w:tabs>
        <w:tab w:val="center" w:pos="4153"/>
        <w:tab w:val="right" w:pos="8306"/>
      </w:tabs>
      <w:snapToGrid w:val="0"/>
      <w:spacing w:line="240" w:lineRule="auto"/>
      <w:jc w:val="center"/>
    </w:pPr>
    <w:rPr>
      <w:sz w:val="18"/>
      <w:szCs w:val="18"/>
    </w:rPr>
  </w:style>
  <w:style w:type="character" w:customStyle="1" w:styleId="EncabezadoCar">
    <w:name w:val="Encabezado Car"/>
    <w:basedOn w:val="Fuentedeprrafopredeter"/>
    <w:link w:val="Encabezado"/>
    <w:uiPriority w:val="99"/>
    <w:semiHidden/>
    <w:rsid w:val="002B491A"/>
    <w:rPr>
      <w:kern w:val="2"/>
      <w:sz w:val="18"/>
      <w:szCs w:val="18"/>
      <w:lang w:val="en-US"/>
    </w:rPr>
  </w:style>
  <w:style w:type="paragraph" w:styleId="Piedepgina">
    <w:name w:val="footer"/>
    <w:basedOn w:val="Normal"/>
    <w:link w:val="PiedepginaCar"/>
    <w:uiPriority w:val="99"/>
    <w:semiHidden/>
    <w:unhideWhenUsed/>
    <w:rsid w:val="002B491A"/>
    <w:pPr>
      <w:tabs>
        <w:tab w:val="center" w:pos="4153"/>
        <w:tab w:val="right" w:pos="8306"/>
      </w:tabs>
      <w:snapToGrid w:val="0"/>
      <w:spacing w:line="240" w:lineRule="auto"/>
      <w:jc w:val="left"/>
    </w:pPr>
    <w:rPr>
      <w:sz w:val="18"/>
      <w:szCs w:val="18"/>
    </w:rPr>
  </w:style>
  <w:style w:type="character" w:customStyle="1" w:styleId="PiedepginaCar">
    <w:name w:val="Pie de página Car"/>
    <w:basedOn w:val="Fuentedeprrafopredeter"/>
    <w:link w:val="Piedepgina"/>
    <w:uiPriority w:val="99"/>
    <w:semiHidden/>
    <w:rsid w:val="002B491A"/>
    <w:rPr>
      <w:kern w:val="2"/>
      <w:sz w:val="18"/>
      <w:szCs w:val="1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Mariano</cp:lastModifiedBy>
  <cp:revision>2</cp:revision>
  <dcterms:created xsi:type="dcterms:W3CDTF">2016-09-07T16:45:00Z</dcterms:created>
  <dcterms:modified xsi:type="dcterms:W3CDTF">2016-09-07T16:45:00Z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